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6</w:t>
      </w:r>
      <w:r>
        <w:rPr>
          <w:b/>
          <w:sz w:val="24"/>
        </w:rPr>
        <w:tab/>
      </w:r>
      <w:r>
        <w:rPr>
          <w:rFonts w:hint="eastAsia"/>
          <w:b/>
          <w:sz w:val="24"/>
          <w:highlight w:val="none"/>
        </w:rPr>
        <w:t>RP-242979</w:t>
      </w:r>
    </w:p>
    <w:p>
      <w:pPr>
        <w:pStyle w:val="104"/>
        <w:tabs>
          <w:tab w:val="right" w:pos="9639"/>
        </w:tabs>
        <w:spacing w:after="0"/>
        <w:rPr>
          <w:b/>
          <w:sz w:val="24"/>
        </w:rPr>
      </w:pPr>
      <w:r>
        <w:rPr>
          <w:rFonts w:hint="eastAsia"/>
          <w:b/>
          <w:sz w:val="24"/>
          <w:lang w:val="en-US" w:eastAsia="zh-CN"/>
        </w:rPr>
        <w:t>Madrid</w:t>
      </w:r>
      <w:r>
        <w:rPr>
          <w:rFonts w:hint="eastAsia"/>
          <w:b/>
          <w:sz w:val="24"/>
          <w:lang w:val="en-US"/>
        </w:rPr>
        <w:t xml:space="preserve">, </w:t>
      </w:r>
      <w:r>
        <w:rPr>
          <w:rFonts w:hint="eastAsia"/>
          <w:b/>
          <w:sz w:val="24"/>
          <w:lang w:val="en-US" w:eastAsia="zh-CN"/>
        </w:rPr>
        <w:t>Spain</w:t>
      </w:r>
      <w:r>
        <w:rPr>
          <w:rFonts w:hint="eastAsia"/>
          <w:b/>
          <w:sz w:val="24"/>
          <w:lang w:val="en-US"/>
        </w:rPr>
        <w:t xml:space="preserve">, </w:t>
      </w:r>
      <w:r>
        <w:rPr>
          <w:rFonts w:hint="eastAsia"/>
          <w:b/>
          <w:sz w:val="24"/>
          <w:lang w:val="en-US" w:eastAsia="zh-CN"/>
        </w:rPr>
        <w:t>Dec</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bookmarkStart w:id="0" w:name="_GoBack"/>
      <w:bookmarkEnd w:id="0"/>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IoT_NTN_enh_plus_CT1-UEConTest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"https://www.3gpp.org/ftp/tsg_ran/TSG_RAN/TSGR_105/Docs/RP-241949.zip"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RP-241949</w:t>
            </w:r>
            <w:r>
              <w:rPr>
                <w:rStyle w:val="57"/>
                <w:rFonts w:hint="eastAsia"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47</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105</w:t>
      </w:r>
      <w:r>
        <w:rPr>
          <w:rFonts w:ascii="Arial" w:hAnsi="Arial" w:cs="Arial"/>
          <w:highlight w:val="none"/>
        </w:rPr>
        <w:t xml:space="preserve"> (the details can be found in </w:t>
      </w:r>
      <w:r>
        <w:rPr>
          <w:rFonts w:hint="eastAsia" w:ascii="Arial" w:hAnsi="Arial" w:cs="Arial"/>
          <w:highlight w:val="none"/>
          <w:lang w:eastAsia="ja-JP"/>
        </w:rPr>
        <w:t>R5-24666</w:t>
      </w:r>
      <w:r>
        <w:rPr>
          <w:rFonts w:hint="eastAsia" w:ascii="Arial" w:hAnsi="Arial" w:eastAsia="宋体" w:cs="Arial"/>
          <w:highlight w:val="none"/>
          <w:lang w:val="en-US" w:eastAsia="zh-CN"/>
        </w:rPr>
        <w:t>3</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47</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For common test environment, 1 Tdoc was agreed.</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protocol</w:t>
      </w:r>
      <w:r>
        <w:rPr>
          <w:rFonts w:hint="default" w:ascii="Arial" w:hAnsi="Arial" w:cs="Arial" w:eastAsiaTheme="minorEastAsia"/>
          <w:highlight w:val="none"/>
          <w:lang w:val="en-US"/>
        </w:rPr>
        <w:t xml:space="preserve">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hint="default" w:ascii="Arial" w:hAnsi="Arial" w:cs="Arial" w:eastAsiaTheme="minorEastAsia"/>
          <w:highlight w:val="none"/>
          <w:lang w:val="en-US"/>
        </w:rPr>
        <w:t xml:space="preserve">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 xml:space="preserve">1 </w:t>
      </w:r>
      <w:r>
        <w:rPr>
          <w:rFonts w:ascii="Arial" w:hAnsi="Arial" w:cs="Arial"/>
          <w:highlight w:val="none"/>
          <w:lang w:val="en-US"/>
        </w:rPr>
        <w:t xml:space="preserve">Tdoc </w:t>
      </w:r>
      <w:r>
        <w:rPr>
          <w:rFonts w:hint="eastAsia" w:ascii="Arial" w:hAnsi="Arial" w:eastAsia="宋体" w:cs="Arial"/>
          <w:highlight w:val="none"/>
          <w:lang w:val="en-US" w:eastAsia="zh-CN"/>
        </w:rPr>
        <w:t>was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numPr>
          <w:ilvl w:val="0"/>
          <w:numId w:val="0"/>
        </w:numPr>
        <w:overflowPunct/>
        <w:autoSpaceDE/>
        <w:autoSpaceDN/>
        <w:snapToGrid w:val="0"/>
        <w:spacing w:after="156" w:afterLines="50"/>
        <w:ind w:left="360" w:leftChars="0"/>
        <w:textAlignment w:val="auto"/>
        <w:rPr>
          <w:rFonts w:ascii="Arial" w:hAnsi="Arial" w:cs="Arial"/>
          <w:highlight w:val="yellow"/>
        </w:rPr>
      </w:pP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R5-24666</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RAN#10</w:t>
      </w:r>
      <w:r>
        <w:rPr>
          <w:rFonts w:hint="eastAsia" w:ascii="Arial" w:hAnsi="Arial" w:cs="Arial" w:eastAsiaTheme="minorEastAsia"/>
          <w:highlight w:val="none"/>
          <w:lang w:val="en-US" w:eastAsia="zh-CN"/>
        </w:rPr>
        <w:t>5</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R5-247589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Updates to IoT NTN enhancement test cases, </w:t>
      </w:r>
      <w:r>
        <w:rPr>
          <w:rFonts w:hint="eastAsia" w:ascii="Arial" w:hAnsi="Arial" w:cs="Arial" w:eastAsiaTheme="minorEastAsia"/>
          <w:highlight w:val="none"/>
          <w:lang w:val="en-US" w:eastAsia="zh-CN"/>
        </w:rPr>
        <w:t>MediaTek Inc.</w:t>
      </w:r>
    </w:p>
    <w:p>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R5-246665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IoT NTN enh RRM TCs applicability, </w:t>
      </w:r>
      <w:r>
        <w:rPr>
          <w:rFonts w:hint="eastAsia" w:ascii="Arial" w:hAnsi="Arial" w:cs="Arial" w:eastAsiaTheme="minorEastAsia"/>
          <w:highlight w:val="none"/>
          <w:lang w:val="en-US" w:eastAsia="zh-CN"/>
        </w:rPr>
        <w:t>CMCC, MediaTek.Inc</w:t>
      </w:r>
    </w:p>
    <w:p>
      <w:pPr>
        <w:overflowPunct/>
        <w:autoSpaceDE/>
        <w:autoSpaceDN/>
        <w:snapToGrid w:val="0"/>
        <w:spacing w:after="0"/>
        <w:textAlignment w:val="auto"/>
        <w:rPr>
          <w:rFonts w:hint="eastAsia"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R5-246284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13.1.1.1_1 for NB IoT NTN, </w:t>
      </w:r>
      <w:r>
        <w:rPr>
          <w:rFonts w:hint="eastAsia" w:ascii="Arial" w:hAnsi="Arial" w:cs="Arial" w:eastAsiaTheme="minorEastAsia"/>
          <w:highlight w:val="none"/>
          <w:lang w:val="en-US" w:eastAsia="zh-CN"/>
        </w:rPr>
        <w:t>Mediatek India Technology Pvt.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R5-246287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13.1.1.2_1 for NB IoT NTN, </w:t>
      </w:r>
      <w:r>
        <w:rPr>
          <w:rFonts w:hint="eastAsia" w:ascii="Arial" w:hAnsi="Arial" w:cs="Arial" w:eastAsiaTheme="minorEastAsia"/>
          <w:highlight w:val="none"/>
          <w:lang w:val="en-US" w:eastAsia="zh-CN"/>
        </w:rPr>
        <w:t>Mediatek India Technology Pvt.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R5-246288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13.1.1.3_1 for NB IoT NTN, </w:t>
      </w:r>
      <w:r>
        <w:rPr>
          <w:rFonts w:hint="eastAsia" w:ascii="Arial" w:hAnsi="Arial" w:cs="Arial" w:eastAsiaTheme="minorEastAsia"/>
          <w:highlight w:val="none"/>
          <w:lang w:val="en-US" w:eastAsia="zh-CN"/>
        </w:rPr>
        <w:t>Mediatek India Technology Pvt.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13.3.1.1_1 for NB IoT NTN, </w:t>
      </w:r>
      <w:r>
        <w:rPr>
          <w:rFonts w:hint="eastAsia" w:ascii="Arial" w:hAnsi="Arial" w:cs="Arial" w:eastAsiaTheme="minorEastAsia"/>
          <w:highlight w:val="none"/>
          <w:lang w:val="en-US" w:eastAsia="zh-CN"/>
        </w:rPr>
        <w:t>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13.1.1.2_1 for NB IoT NTN, </w:t>
      </w:r>
      <w:r>
        <w:rPr>
          <w:rFonts w:hint="eastAsia" w:ascii="Arial" w:hAnsi="Arial" w:cs="Arial" w:eastAsiaTheme="minorEastAsia"/>
          <w:highlight w:val="none"/>
          <w:lang w:val="en-US" w:eastAsia="zh-CN"/>
        </w:rPr>
        <w:t>MediaTek Inc.</w:t>
      </w:r>
    </w:p>
    <w:p>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 xml:space="preserve">1 </w:t>
      </w:r>
      <w:r>
        <w:rPr>
          <w:rFonts w:hint="eastAsia" w:ascii="Arial" w:hAnsi="Arial" w:eastAsia="宋体" w:cs="Arial"/>
          <w:b/>
          <w:highlight w:val="none"/>
        </w:rPr>
        <w:t>CRs</w:t>
      </w:r>
    </w:p>
    <w:p>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R5-247590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IoT NTN enhancement test case 22.3.1.15, </w:t>
      </w:r>
      <w:r>
        <w:rPr>
          <w:rFonts w:hint="eastAsia" w:ascii="Arial" w:hAnsi="Arial" w:cs="Arial" w:eastAsiaTheme="minorEastAsia"/>
          <w:highlight w:val="none"/>
          <w:lang w:val="en-US" w:eastAsia="zh-CN"/>
        </w:rPr>
        <w:t>MediaTek Inc.</w:t>
      </w:r>
    </w:p>
    <w:p>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R5-247618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IoT NTN enhancement TC 22.4.31, </w:t>
      </w:r>
      <w:r>
        <w:rPr>
          <w:rFonts w:hint="eastAsia" w:ascii="Arial" w:hAnsi="Arial" w:cs="Arial" w:eastAsiaTheme="minorEastAsia"/>
          <w:highlight w:val="none"/>
          <w:lang w:val="en-US" w:eastAsia="zh-CN"/>
        </w:rPr>
        <w:t>CMCC</w:t>
      </w:r>
    </w:p>
    <w:p>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3</w:t>
      </w:r>
      <w:r>
        <w:rPr>
          <w:rFonts w:hint="eastAsia" w:ascii="Arial" w:hAnsi="Arial" w:eastAsia="宋体" w:cs="Arial"/>
          <w:b/>
          <w:highlight w:val="none"/>
          <w:lang w:val="en-US" w:eastAsia="zh-CN"/>
        </w:rPr>
        <w:t>-</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R5-247668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Applicability updates to IoT NTN enhancement test case, </w:t>
      </w:r>
      <w:r>
        <w:rPr>
          <w:rFonts w:hint="eastAsia" w:ascii="Arial" w:hAnsi="Arial" w:cs="Arial" w:eastAsiaTheme="minorEastAsia"/>
          <w:highlight w:val="none"/>
          <w:lang w:val="en-US" w:eastAsia="zh-CN"/>
        </w:rPr>
        <w:t>MediaTek Inc.</w:t>
      </w:r>
    </w:p>
    <w:p>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R5-247674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applicability for IoT NTN enhancement TC 22.4.31, </w:t>
      </w:r>
      <w:r>
        <w:rPr>
          <w:rFonts w:hint="eastAsia" w:ascii="Arial" w:hAnsi="Arial" w:cs="Arial" w:eastAsiaTheme="minorEastAsia"/>
          <w:highlight w:val="none"/>
          <w:lang w:val="en-US" w:eastAsia="zh-CN"/>
        </w:rPr>
        <w:t>CMCC</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DFFD8"/>
    <w:multiLevelType w:val="singleLevel"/>
    <w:tmpl w:val="80BDFFD8"/>
    <w:lvl w:ilvl="0" w:tentative="0">
      <w:start w:val="1"/>
      <w:numFmt w:val="decimal"/>
      <w:lvlText w:val="[%1]"/>
      <w:lvlJc w:val="left"/>
      <w:rPr>
        <w:b w:val="0"/>
      </w:rPr>
    </w:lvl>
  </w:abstractNum>
  <w:abstractNum w:abstractNumId="1">
    <w:nsid w:val="93BF6D3D"/>
    <w:multiLevelType w:val="singleLevel"/>
    <w:tmpl w:val="93BF6D3D"/>
    <w:lvl w:ilvl="0" w:tentative="0">
      <w:start w:val="1"/>
      <w:numFmt w:val="decimal"/>
      <w:lvlText w:val="[%1]"/>
      <w:lvlJc w:val="left"/>
      <w:rPr>
        <w:b w:val="0"/>
      </w:rPr>
    </w:lvl>
  </w:abstractNum>
  <w:abstractNum w:abstractNumId="2">
    <w:nsid w:val="BBB2A7C3"/>
    <w:multiLevelType w:val="singleLevel"/>
    <w:tmpl w:val="BBB2A7C3"/>
    <w:lvl w:ilvl="0" w:tentative="0">
      <w:start w:val="1"/>
      <w:numFmt w:val="decimal"/>
      <w:lvlText w:val="[%1]"/>
      <w:lvlJc w:val="left"/>
      <w:rPr>
        <w:b w:val="0"/>
      </w:rPr>
    </w:lvl>
  </w:abstractNum>
  <w:abstractNum w:abstractNumId="3">
    <w:nsid w:val="F4963FA0"/>
    <w:multiLevelType w:val="singleLevel"/>
    <w:tmpl w:val="F4963FA0"/>
    <w:lvl w:ilvl="0" w:tentative="0">
      <w:start w:val="1"/>
      <w:numFmt w:val="decimal"/>
      <w:lvlText w:val="[%1]"/>
      <w:lvlJc w:val="left"/>
      <w:rPr>
        <w:b w:val="0"/>
      </w:rPr>
    </w:lvl>
  </w:abstractNum>
  <w:abstractNum w:abstractNumId="4">
    <w:nsid w:val="15BA9084"/>
    <w:multiLevelType w:val="singleLevel"/>
    <w:tmpl w:val="15BA9084"/>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14024BA"/>
    <w:multiLevelType w:val="singleLevel"/>
    <w:tmpl w:val="614024BA"/>
    <w:lvl w:ilvl="0" w:tentative="0">
      <w:start w:val="1"/>
      <w:numFmt w:val="decimal"/>
      <w:lvlText w:val="[%1]"/>
      <w:lvlJc w:val="left"/>
      <w:rPr>
        <w:b w:val="0"/>
      </w:rPr>
    </w:lvl>
  </w:abstractNum>
  <w:abstractNum w:abstractNumId="9">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10"/>
  </w:num>
  <w:num w:numId="4">
    <w:abstractNumId w:val="5"/>
  </w:num>
  <w:num w:numId="5">
    <w:abstractNumId w:val="7"/>
  </w:num>
  <w:num w:numId="6">
    <w:abstractNumId w:val="8"/>
  </w:num>
  <w:num w:numId="7">
    <w:abstractNumId w:val="2"/>
  </w:num>
  <w:num w:numId="8">
    <w:abstractNumId w:val="3"/>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4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2C32877"/>
    <w:rsid w:val="032C5770"/>
    <w:rsid w:val="0352627C"/>
    <w:rsid w:val="03FC0C17"/>
    <w:rsid w:val="04137C88"/>
    <w:rsid w:val="043750F8"/>
    <w:rsid w:val="045042DE"/>
    <w:rsid w:val="046F64A5"/>
    <w:rsid w:val="04B02D72"/>
    <w:rsid w:val="06400C05"/>
    <w:rsid w:val="06C62B3E"/>
    <w:rsid w:val="071568AB"/>
    <w:rsid w:val="0745663A"/>
    <w:rsid w:val="07683368"/>
    <w:rsid w:val="0867547F"/>
    <w:rsid w:val="08AF5136"/>
    <w:rsid w:val="08B5289D"/>
    <w:rsid w:val="08B909EB"/>
    <w:rsid w:val="08C0303F"/>
    <w:rsid w:val="08CA4C78"/>
    <w:rsid w:val="08EB1C1E"/>
    <w:rsid w:val="08F73AFF"/>
    <w:rsid w:val="09070455"/>
    <w:rsid w:val="095E54EB"/>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5438EE"/>
    <w:rsid w:val="0D6301B6"/>
    <w:rsid w:val="0D826AA0"/>
    <w:rsid w:val="0DDB6ECB"/>
    <w:rsid w:val="0DDD0F23"/>
    <w:rsid w:val="0E041CB4"/>
    <w:rsid w:val="0E050F30"/>
    <w:rsid w:val="0E135567"/>
    <w:rsid w:val="0F9868D5"/>
    <w:rsid w:val="0FF04A80"/>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E16027"/>
    <w:rsid w:val="17FA09E4"/>
    <w:rsid w:val="18120651"/>
    <w:rsid w:val="181D225E"/>
    <w:rsid w:val="18C33C48"/>
    <w:rsid w:val="191B541E"/>
    <w:rsid w:val="199D5748"/>
    <w:rsid w:val="19C85510"/>
    <w:rsid w:val="19DD70C1"/>
    <w:rsid w:val="19F41590"/>
    <w:rsid w:val="1A1C6BC6"/>
    <w:rsid w:val="1A6A4C5B"/>
    <w:rsid w:val="1A7172E1"/>
    <w:rsid w:val="1A78680F"/>
    <w:rsid w:val="1A883976"/>
    <w:rsid w:val="1AB27FD4"/>
    <w:rsid w:val="1B537FAB"/>
    <w:rsid w:val="1B65192E"/>
    <w:rsid w:val="1B687D51"/>
    <w:rsid w:val="1BCB61E8"/>
    <w:rsid w:val="1BEE16E9"/>
    <w:rsid w:val="1C6542B2"/>
    <w:rsid w:val="1C6A4BF8"/>
    <w:rsid w:val="1D1D3289"/>
    <w:rsid w:val="1DB22A9C"/>
    <w:rsid w:val="1E1F7909"/>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F962B2"/>
    <w:rsid w:val="22735549"/>
    <w:rsid w:val="22FC06E3"/>
    <w:rsid w:val="23BF6EB5"/>
    <w:rsid w:val="24057FFB"/>
    <w:rsid w:val="24140B3E"/>
    <w:rsid w:val="24BC4FF9"/>
    <w:rsid w:val="259957EC"/>
    <w:rsid w:val="25E22486"/>
    <w:rsid w:val="260B6710"/>
    <w:rsid w:val="26A42548"/>
    <w:rsid w:val="26D9199B"/>
    <w:rsid w:val="272B7C0B"/>
    <w:rsid w:val="27452B8C"/>
    <w:rsid w:val="275A7663"/>
    <w:rsid w:val="276A1428"/>
    <w:rsid w:val="279B7C00"/>
    <w:rsid w:val="279C4099"/>
    <w:rsid w:val="280837ED"/>
    <w:rsid w:val="289A71A7"/>
    <w:rsid w:val="28AA18F8"/>
    <w:rsid w:val="29082BE0"/>
    <w:rsid w:val="29083E60"/>
    <w:rsid w:val="290950B0"/>
    <w:rsid w:val="29B63A0A"/>
    <w:rsid w:val="2A1D1B25"/>
    <w:rsid w:val="2AA3517C"/>
    <w:rsid w:val="2AEF25C6"/>
    <w:rsid w:val="2B025C05"/>
    <w:rsid w:val="2B0262B8"/>
    <w:rsid w:val="2B3C17C0"/>
    <w:rsid w:val="2B615761"/>
    <w:rsid w:val="2C0E308C"/>
    <w:rsid w:val="2CEA3B3F"/>
    <w:rsid w:val="2D102550"/>
    <w:rsid w:val="2D171859"/>
    <w:rsid w:val="2E2C3250"/>
    <w:rsid w:val="2ED83DA6"/>
    <w:rsid w:val="2EF06FB2"/>
    <w:rsid w:val="2EF30C78"/>
    <w:rsid w:val="2F16434A"/>
    <w:rsid w:val="2F564135"/>
    <w:rsid w:val="2F7169E1"/>
    <w:rsid w:val="2F7E02C0"/>
    <w:rsid w:val="2F89581B"/>
    <w:rsid w:val="2FAA10E6"/>
    <w:rsid w:val="2FB61D03"/>
    <w:rsid w:val="2FBD3F29"/>
    <w:rsid w:val="2FE12433"/>
    <w:rsid w:val="303C7BDB"/>
    <w:rsid w:val="309E06A4"/>
    <w:rsid w:val="30AA70B7"/>
    <w:rsid w:val="30BF083E"/>
    <w:rsid w:val="314A536E"/>
    <w:rsid w:val="316F7BD4"/>
    <w:rsid w:val="31EA6791"/>
    <w:rsid w:val="32292413"/>
    <w:rsid w:val="329E5240"/>
    <w:rsid w:val="32B75B6C"/>
    <w:rsid w:val="32E33A83"/>
    <w:rsid w:val="330D41AD"/>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C1267DA"/>
    <w:rsid w:val="3C505FF8"/>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181B2B"/>
    <w:rsid w:val="418F3A1F"/>
    <w:rsid w:val="41963733"/>
    <w:rsid w:val="41CB71AA"/>
    <w:rsid w:val="421F2EEA"/>
    <w:rsid w:val="42BF1D1A"/>
    <w:rsid w:val="42D52692"/>
    <w:rsid w:val="42FC2DBB"/>
    <w:rsid w:val="439919BD"/>
    <w:rsid w:val="43B1111A"/>
    <w:rsid w:val="441E0FD5"/>
    <w:rsid w:val="44404107"/>
    <w:rsid w:val="447D6A17"/>
    <w:rsid w:val="449D7185"/>
    <w:rsid w:val="454A4C88"/>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8D46AB"/>
    <w:rsid w:val="4AB56D9A"/>
    <w:rsid w:val="4B0F7224"/>
    <w:rsid w:val="4C6E4F06"/>
    <w:rsid w:val="4D21764B"/>
    <w:rsid w:val="4D2C1231"/>
    <w:rsid w:val="4DAE1980"/>
    <w:rsid w:val="4E1D1C34"/>
    <w:rsid w:val="4E422279"/>
    <w:rsid w:val="4E5530CC"/>
    <w:rsid w:val="4E8D380A"/>
    <w:rsid w:val="4EFD25E7"/>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85C368D"/>
    <w:rsid w:val="58CF3F40"/>
    <w:rsid w:val="58DF5C23"/>
    <w:rsid w:val="595371D3"/>
    <w:rsid w:val="59AA2AE2"/>
    <w:rsid w:val="59C23FFD"/>
    <w:rsid w:val="5A0E3BCE"/>
    <w:rsid w:val="5A466BC8"/>
    <w:rsid w:val="5A615BD7"/>
    <w:rsid w:val="5A724FD4"/>
    <w:rsid w:val="5A812888"/>
    <w:rsid w:val="5A81521A"/>
    <w:rsid w:val="5A85323A"/>
    <w:rsid w:val="5ACC0548"/>
    <w:rsid w:val="5B1F3A0B"/>
    <w:rsid w:val="5B6D2BA3"/>
    <w:rsid w:val="5B980404"/>
    <w:rsid w:val="5BDB61ED"/>
    <w:rsid w:val="5C147E54"/>
    <w:rsid w:val="5CAD2F36"/>
    <w:rsid w:val="5D2D156D"/>
    <w:rsid w:val="5E8250F4"/>
    <w:rsid w:val="5EA178AA"/>
    <w:rsid w:val="5EA615D3"/>
    <w:rsid w:val="5EC82C7F"/>
    <w:rsid w:val="5ECF5A54"/>
    <w:rsid w:val="5F0A5107"/>
    <w:rsid w:val="5F267BDE"/>
    <w:rsid w:val="5F455A50"/>
    <w:rsid w:val="6013139C"/>
    <w:rsid w:val="60291E96"/>
    <w:rsid w:val="609676C4"/>
    <w:rsid w:val="60AF33AD"/>
    <w:rsid w:val="61204966"/>
    <w:rsid w:val="61AA714A"/>
    <w:rsid w:val="61C12377"/>
    <w:rsid w:val="61CF1286"/>
    <w:rsid w:val="620A5BE8"/>
    <w:rsid w:val="6297146B"/>
    <w:rsid w:val="62AE701F"/>
    <w:rsid w:val="62B07544"/>
    <w:rsid w:val="62DD7AB0"/>
    <w:rsid w:val="63092CDD"/>
    <w:rsid w:val="63501A48"/>
    <w:rsid w:val="63D53A18"/>
    <w:rsid w:val="63EC1DBB"/>
    <w:rsid w:val="64A261C1"/>
    <w:rsid w:val="64D54BF8"/>
    <w:rsid w:val="6591353A"/>
    <w:rsid w:val="65B958B8"/>
    <w:rsid w:val="65DB6AA5"/>
    <w:rsid w:val="65DB6F70"/>
    <w:rsid w:val="661E3257"/>
    <w:rsid w:val="66383744"/>
    <w:rsid w:val="664916BB"/>
    <w:rsid w:val="666146B1"/>
    <w:rsid w:val="66A45FF8"/>
    <w:rsid w:val="676D3EBB"/>
    <w:rsid w:val="67757D2D"/>
    <w:rsid w:val="67B963F3"/>
    <w:rsid w:val="67BE2432"/>
    <w:rsid w:val="67CD70C1"/>
    <w:rsid w:val="685A2E59"/>
    <w:rsid w:val="68D47CD7"/>
    <w:rsid w:val="68F2010F"/>
    <w:rsid w:val="69471021"/>
    <w:rsid w:val="69806A35"/>
    <w:rsid w:val="6A5D1B30"/>
    <w:rsid w:val="6A7F6611"/>
    <w:rsid w:val="6AA83621"/>
    <w:rsid w:val="6B1B4006"/>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1F06EC"/>
    <w:rsid w:val="716D30CB"/>
    <w:rsid w:val="718335B1"/>
    <w:rsid w:val="7185070D"/>
    <w:rsid w:val="719256A3"/>
    <w:rsid w:val="71954ADD"/>
    <w:rsid w:val="71A32AFB"/>
    <w:rsid w:val="72132F1B"/>
    <w:rsid w:val="724D391D"/>
    <w:rsid w:val="72667A54"/>
    <w:rsid w:val="7277686B"/>
    <w:rsid w:val="727B7B76"/>
    <w:rsid w:val="731871FF"/>
    <w:rsid w:val="732F503F"/>
    <w:rsid w:val="73814205"/>
    <w:rsid w:val="73B27495"/>
    <w:rsid w:val="73D13601"/>
    <w:rsid w:val="73FB3929"/>
    <w:rsid w:val="749B0403"/>
    <w:rsid w:val="749F2B1B"/>
    <w:rsid w:val="74B2398B"/>
    <w:rsid w:val="74D014A3"/>
    <w:rsid w:val="74FE75C0"/>
    <w:rsid w:val="751226C4"/>
    <w:rsid w:val="753D3C50"/>
    <w:rsid w:val="75BC7C51"/>
    <w:rsid w:val="75F65014"/>
    <w:rsid w:val="75F973DD"/>
    <w:rsid w:val="76B85AA5"/>
    <w:rsid w:val="77042512"/>
    <w:rsid w:val="77B34C9B"/>
    <w:rsid w:val="783933A6"/>
    <w:rsid w:val="791871BB"/>
    <w:rsid w:val="793C6AE9"/>
    <w:rsid w:val="79404263"/>
    <w:rsid w:val="79E91CF9"/>
    <w:rsid w:val="79EB710E"/>
    <w:rsid w:val="7A651673"/>
    <w:rsid w:val="7AD97A34"/>
    <w:rsid w:val="7AF37BF2"/>
    <w:rsid w:val="7B0669E6"/>
    <w:rsid w:val="7BEC215B"/>
    <w:rsid w:val="7C7D76F6"/>
    <w:rsid w:val="7CCE1B6A"/>
    <w:rsid w:val="7CD40FB9"/>
    <w:rsid w:val="7D267C0E"/>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1130</Words>
  <Characters>6445</Characters>
  <Lines>53</Lines>
  <Paragraphs>15</Paragraphs>
  <TotalTime>0</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2024-12-02T01:21:04Z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